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B42" w:rsidRPr="002F354F" w:rsidRDefault="00AD4B42" w:rsidP="00AD4B42">
      <w:pPr>
        <w:jc w:val="center"/>
        <w:rPr>
          <w:rFonts w:ascii="Times New Roman" w:hAnsi="Times New Roman" w:cs="Times New Roman"/>
          <w:b/>
          <w:bCs/>
        </w:rPr>
      </w:pPr>
      <w:r w:rsidRPr="002F354F">
        <w:rPr>
          <w:rFonts w:ascii="Times New Roman" w:hAnsi="Times New Roman" w:cs="Times New Roman"/>
          <w:b/>
          <w:bCs/>
          <w:lang w:val="uk-UA"/>
        </w:rPr>
        <w:t>ПРОГНОЗИ ЗМІНИ ЦІН/ТАРИФІВ В 202</w:t>
      </w:r>
      <w:r w:rsidR="00185CD6" w:rsidRPr="002F354F">
        <w:rPr>
          <w:rFonts w:ascii="Times New Roman" w:hAnsi="Times New Roman" w:cs="Times New Roman"/>
          <w:b/>
          <w:bCs/>
          <w:lang w:val="uk-UA"/>
        </w:rPr>
        <w:t>3</w:t>
      </w:r>
      <w:r w:rsidRPr="002F354F">
        <w:rPr>
          <w:rFonts w:ascii="Times New Roman" w:hAnsi="Times New Roman" w:cs="Times New Roman"/>
          <w:b/>
          <w:bCs/>
          <w:lang w:val="uk-UA"/>
        </w:rPr>
        <w:t xml:space="preserve"> РОЦІ</w:t>
      </w:r>
    </w:p>
    <w:p w:rsidR="00AD4B42" w:rsidRDefault="00AD4B42" w:rsidP="00CA04CF">
      <w:pPr>
        <w:spacing w:after="0"/>
        <w:ind w:left="-567" w:right="-1"/>
        <w:rPr>
          <w:rFonts w:ascii="Times New Roman" w:hAnsi="Times New Roman" w:cs="Times New Roman"/>
          <w:lang w:val="uk-UA"/>
        </w:rPr>
      </w:pPr>
      <w:r w:rsidRPr="0055792F">
        <w:rPr>
          <w:rFonts w:ascii="Times New Roman" w:hAnsi="Times New Roman" w:cs="Times New Roman"/>
        </w:rPr>
        <w:t>ТОВ «</w:t>
      </w:r>
      <w:r w:rsidRPr="0055792F">
        <w:rPr>
          <w:rFonts w:ascii="Times New Roman" w:hAnsi="Times New Roman" w:cs="Times New Roman"/>
          <w:lang w:val="uk-UA"/>
        </w:rPr>
        <w:t>БУРШТИН ЕНЕРГОМАШ</w:t>
      </w:r>
      <w:r w:rsidRPr="0055792F">
        <w:rPr>
          <w:rFonts w:ascii="Times New Roman" w:hAnsi="Times New Roman" w:cs="Times New Roman"/>
        </w:rPr>
        <w:t xml:space="preserve">» </w:t>
      </w:r>
      <w:proofErr w:type="spellStart"/>
      <w:r w:rsidRPr="0055792F">
        <w:rPr>
          <w:rFonts w:ascii="Times New Roman" w:hAnsi="Times New Roman" w:cs="Times New Roman"/>
        </w:rPr>
        <w:t>прогнозує</w:t>
      </w:r>
      <w:proofErr w:type="spellEnd"/>
      <w:r w:rsidRPr="0055792F">
        <w:rPr>
          <w:rFonts w:ascii="Times New Roman" w:hAnsi="Times New Roman" w:cs="Times New Roman"/>
        </w:rPr>
        <w:t xml:space="preserve"> </w:t>
      </w:r>
      <w:proofErr w:type="spellStart"/>
      <w:r w:rsidRPr="0055792F">
        <w:rPr>
          <w:rFonts w:ascii="Times New Roman" w:hAnsi="Times New Roman" w:cs="Times New Roman"/>
        </w:rPr>
        <w:t>зростання</w:t>
      </w:r>
      <w:proofErr w:type="spellEnd"/>
      <w:r w:rsidRPr="0055792F">
        <w:rPr>
          <w:rFonts w:ascii="Times New Roman" w:hAnsi="Times New Roman" w:cs="Times New Roman"/>
        </w:rPr>
        <w:t xml:space="preserve"> </w:t>
      </w:r>
      <w:proofErr w:type="spellStart"/>
      <w:r w:rsidRPr="0055792F">
        <w:rPr>
          <w:rFonts w:ascii="Times New Roman" w:hAnsi="Times New Roman" w:cs="Times New Roman"/>
        </w:rPr>
        <w:t>цін</w:t>
      </w:r>
      <w:proofErr w:type="spellEnd"/>
      <w:r w:rsidRPr="0055792F">
        <w:rPr>
          <w:rFonts w:ascii="Times New Roman" w:hAnsi="Times New Roman" w:cs="Times New Roman"/>
        </w:rPr>
        <w:t>/</w:t>
      </w:r>
      <w:proofErr w:type="spellStart"/>
      <w:r w:rsidRPr="0055792F">
        <w:rPr>
          <w:rFonts w:ascii="Times New Roman" w:hAnsi="Times New Roman" w:cs="Times New Roman"/>
        </w:rPr>
        <w:t>тарифів</w:t>
      </w:r>
      <w:proofErr w:type="spellEnd"/>
      <w:r w:rsidRPr="0055792F">
        <w:rPr>
          <w:rFonts w:ascii="Times New Roman" w:hAnsi="Times New Roman" w:cs="Times New Roman"/>
        </w:rPr>
        <w:t xml:space="preserve"> на </w:t>
      </w:r>
      <w:proofErr w:type="spellStart"/>
      <w:r w:rsidRPr="0055792F">
        <w:rPr>
          <w:rFonts w:ascii="Times New Roman" w:hAnsi="Times New Roman" w:cs="Times New Roman"/>
        </w:rPr>
        <w:t>електричну</w:t>
      </w:r>
      <w:proofErr w:type="spellEnd"/>
      <w:r w:rsidRPr="0055792F">
        <w:rPr>
          <w:rFonts w:ascii="Times New Roman" w:hAnsi="Times New Roman" w:cs="Times New Roman"/>
        </w:rPr>
        <w:t xml:space="preserve"> </w:t>
      </w:r>
      <w:proofErr w:type="spellStart"/>
      <w:r w:rsidRPr="0055792F">
        <w:rPr>
          <w:rFonts w:ascii="Times New Roman" w:hAnsi="Times New Roman" w:cs="Times New Roman"/>
        </w:rPr>
        <w:t>енергію</w:t>
      </w:r>
      <w:proofErr w:type="spellEnd"/>
      <w:r w:rsidRPr="0055792F">
        <w:rPr>
          <w:rFonts w:ascii="Times New Roman" w:hAnsi="Times New Roman" w:cs="Times New Roman"/>
        </w:rPr>
        <w:t xml:space="preserve"> у 202</w:t>
      </w:r>
      <w:r w:rsidR="00185CD6">
        <w:rPr>
          <w:rFonts w:ascii="Times New Roman" w:hAnsi="Times New Roman" w:cs="Times New Roman"/>
          <w:lang w:val="uk-UA"/>
        </w:rPr>
        <w:t>3</w:t>
      </w:r>
      <w:r w:rsidRPr="0055792F">
        <w:rPr>
          <w:rFonts w:ascii="Times New Roman" w:hAnsi="Times New Roman" w:cs="Times New Roman"/>
        </w:rPr>
        <w:t xml:space="preserve"> </w:t>
      </w:r>
      <w:proofErr w:type="spellStart"/>
      <w:r w:rsidRPr="0055792F">
        <w:rPr>
          <w:rFonts w:ascii="Times New Roman" w:hAnsi="Times New Roman" w:cs="Times New Roman"/>
        </w:rPr>
        <w:t>році</w:t>
      </w:r>
      <w:proofErr w:type="spellEnd"/>
      <w:r w:rsidRPr="0055792F">
        <w:rPr>
          <w:rFonts w:ascii="Times New Roman" w:hAnsi="Times New Roman" w:cs="Times New Roman"/>
          <w:lang w:val="uk-UA"/>
        </w:rPr>
        <w:t>.</w:t>
      </w:r>
    </w:p>
    <w:p w:rsidR="00A82F46" w:rsidRDefault="00A82F46" w:rsidP="00A82F46">
      <w:pPr>
        <w:spacing w:after="0"/>
        <w:ind w:left="-567" w:right="-1"/>
        <w:jc w:val="both"/>
        <w:rPr>
          <w:rFonts w:ascii="Times New Roman" w:hAnsi="Times New Roman" w:cs="Times New Roman"/>
          <w:lang w:val="uk-UA"/>
        </w:rPr>
      </w:pPr>
    </w:p>
    <w:p w:rsidR="00185CD6" w:rsidRPr="00A82F46" w:rsidRDefault="00A82F46" w:rsidP="00A82F46">
      <w:pPr>
        <w:spacing w:after="0" w:line="240" w:lineRule="auto"/>
        <w:ind w:left="-567" w:right="-1"/>
        <w:jc w:val="both"/>
        <w:rPr>
          <w:rFonts w:ascii="Times New Roman" w:hAnsi="Times New Roman" w:cs="Times New Roman"/>
          <w:lang w:val="uk-UA"/>
        </w:rPr>
      </w:pPr>
      <w:r w:rsidRPr="00A82F46">
        <w:rPr>
          <w:rFonts w:ascii="Times New Roman" w:hAnsi="Times New Roman" w:cs="Times New Roman"/>
          <w:lang w:val="uk-UA"/>
        </w:rPr>
        <w:t>Причинами прогнозу зростання цін є:</w:t>
      </w: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1) На засіданні Національної ко</w:t>
      </w:r>
      <w:bookmarkStart w:id="0" w:name="_GoBack"/>
      <w:bookmarkEnd w:id="0"/>
      <w:r w:rsidRPr="00185CD6">
        <w:rPr>
          <w:rFonts w:ascii="Times New Roman" w:hAnsi="Times New Roman" w:cs="Times New Roman"/>
          <w:lang w:val="uk-UA"/>
        </w:rPr>
        <w:t>місії, що здійснює державне регулювання у сферах енергетики та комунальних послуг (далі – НКРЕКП) постановою від 27.09.2022 № 1221 затверджено Методику визначення істотного коливання цін та встановлення граничних цін на ринку «на добу наперед», внутрішньодобовому ринку та балансуючому ринку» (далі – Методика)</w:t>
      </w:r>
      <w:r w:rsidR="00A82F46">
        <w:rPr>
          <w:rFonts w:ascii="Times New Roman" w:hAnsi="Times New Roman" w:cs="Times New Roman"/>
          <w:lang w:val="uk-UA"/>
        </w:rPr>
        <w:t>, яка в</w:t>
      </w:r>
      <w:r w:rsidRPr="00185CD6">
        <w:rPr>
          <w:rFonts w:ascii="Times New Roman" w:hAnsi="Times New Roman" w:cs="Times New Roman"/>
          <w:lang w:val="uk-UA"/>
        </w:rPr>
        <w:t>пливає на всіх суб’єктів господарювання через встановлення державою граничних цін на РДН, ВДР та балансуючому ринку.</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При цьому, з липня по вересень 2022 року спостерігалося суттєве підвищення цін на організованих сегментах ринку на 11-15% щомісячно. Окрім того, з 1 по 28 вересня ціна на РДН досягала рівня 95% від встановленого максимального обмеження у 519 годинах з 672, що свідчить про значний вплив граничних цін на формування вільної (ринкової) ціни.</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Практика минулих підвищень граничних цін показала, що фактичні ціни на організованих сегментах ринку досить швидко досягають рівня нових граничних цін. Підвищення граничних цін гарантовано призведе до збільшення ціни електричної енергії на організованих сегментах ринку. Як наслідок, відбудеться підвищення ціни електричної енергії для кінцевого споживача.</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 xml:space="preserve">2) Атаки </w:t>
      </w:r>
      <w:proofErr w:type="spellStart"/>
      <w:r w:rsidRPr="00185CD6">
        <w:rPr>
          <w:rFonts w:ascii="Times New Roman" w:hAnsi="Times New Roman" w:cs="Times New Roman"/>
          <w:lang w:val="uk-UA"/>
        </w:rPr>
        <w:t>росії</w:t>
      </w:r>
      <w:proofErr w:type="spellEnd"/>
      <w:r w:rsidRPr="00185CD6">
        <w:rPr>
          <w:rFonts w:ascii="Times New Roman" w:hAnsi="Times New Roman" w:cs="Times New Roman"/>
          <w:lang w:val="uk-UA"/>
        </w:rPr>
        <w:t xml:space="preserve"> проти енергосистеми України та істотний дефіцит електричної енергії.</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 xml:space="preserve">Широкомасштабна війна стала тяжким випробуванням для енергетики України. Під час перших місяців війни 20% енергосистеми було пошкоджено, знищено або окуповано. Найбільшою втратою для енергосистеми України стала Запорізька АЕС, яка була окупована в березні й досі перебуває під контролем російських </w:t>
      </w:r>
      <w:proofErr w:type="spellStart"/>
      <w:r w:rsidRPr="00185CD6">
        <w:rPr>
          <w:rFonts w:ascii="Times New Roman" w:hAnsi="Times New Roman" w:cs="Times New Roman"/>
          <w:lang w:val="uk-UA"/>
        </w:rPr>
        <w:t>військ.Також</w:t>
      </w:r>
      <w:proofErr w:type="spellEnd"/>
      <w:r w:rsidRPr="00185CD6">
        <w:rPr>
          <w:rFonts w:ascii="Times New Roman" w:hAnsi="Times New Roman" w:cs="Times New Roman"/>
          <w:lang w:val="uk-UA"/>
        </w:rPr>
        <w:t xml:space="preserve"> в окупації знаходяться низка ТЕС, гідроелектростанцій та частина сонячних та вітрових електростанцій. Це означає, що більше 10 </w:t>
      </w:r>
      <w:proofErr w:type="spellStart"/>
      <w:r w:rsidRPr="00185CD6">
        <w:rPr>
          <w:rFonts w:ascii="Times New Roman" w:hAnsi="Times New Roman" w:cs="Times New Roman"/>
          <w:lang w:val="uk-UA"/>
        </w:rPr>
        <w:t>ГВт</w:t>
      </w:r>
      <w:proofErr w:type="spellEnd"/>
      <w:r w:rsidRPr="00185CD6">
        <w:rPr>
          <w:rFonts w:ascii="Times New Roman" w:hAnsi="Times New Roman" w:cs="Times New Roman"/>
          <w:lang w:val="uk-UA"/>
        </w:rPr>
        <w:t xml:space="preserve"> встановленої потужності наразі недоступно в українській енергосистемі.</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 xml:space="preserve">Починаючи з жовтня, </w:t>
      </w:r>
      <w:proofErr w:type="spellStart"/>
      <w:r w:rsidRPr="00185CD6">
        <w:rPr>
          <w:rFonts w:ascii="Times New Roman" w:hAnsi="Times New Roman" w:cs="Times New Roman"/>
          <w:lang w:val="uk-UA"/>
        </w:rPr>
        <w:t>росія</w:t>
      </w:r>
      <w:proofErr w:type="spellEnd"/>
      <w:r w:rsidRPr="00185CD6">
        <w:rPr>
          <w:rFonts w:ascii="Times New Roman" w:hAnsi="Times New Roman" w:cs="Times New Roman"/>
          <w:lang w:val="uk-UA"/>
        </w:rPr>
        <w:t xml:space="preserve"> цілеспрямовано і систематично руйнувала електричні мережі. В результаті масованих обстрілів, в українській енергосистемі сталася велика системна аварія. Цілісність енергосистеми була втрачена, в енергосистемі зберігається значний дефіцит генерації та зруйновано безліч ліній </w:t>
      </w:r>
      <w:proofErr w:type="spellStart"/>
      <w:r w:rsidRPr="00185CD6">
        <w:rPr>
          <w:rFonts w:ascii="Times New Roman" w:hAnsi="Times New Roman" w:cs="Times New Roman"/>
          <w:lang w:val="uk-UA"/>
        </w:rPr>
        <w:t>електропередач</w:t>
      </w:r>
      <w:proofErr w:type="spellEnd"/>
      <w:r w:rsidRPr="00185CD6">
        <w:rPr>
          <w:rFonts w:ascii="Times New Roman" w:hAnsi="Times New Roman" w:cs="Times New Roman"/>
          <w:lang w:val="uk-UA"/>
        </w:rPr>
        <w:t xml:space="preserve"> та підстанцій. Хоч енергетики роблять все можливе для відновлення подачі електроенергії, проте, дефіцит електроенергії залишається значним.</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Станом на 18 грудня тривало відновлення роботи енергосистеми. Атомні станції вийшли на максимально можливу потужність в умовах пошкодження енергетичної інфраструктури. Зважаючи на масштабність та складність пошкоджень потрібен значний час, щоби відновити обладнання.</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 xml:space="preserve">Інфраструктуру України атакують сотнями ракет і </w:t>
      </w:r>
      <w:proofErr w:type="spellStart"/>
      <w:r w:rsidRPr="00185CD6">
        <w:rPr>
          <w:rFonts w:ascii="Times New Roman" w:hAnsi="Times New Roman" w:cs="Times New Roman"/>
          <w:lang w:val="uk-UA"/>
        </w:rPr>
        <w:t>дронів</w:t>
      </w:r>
      <w:proofErr w:type="spellEnd"/>
      <w:r w:rsidRPr="00185CD6">
        <w:rPr>
          <w:rFonts w:ascii="Times New Roman" w:hAnsi="Times New Roman" w:cs="Times New Roman"/>
          <w:lang w:val="uk-UA"/>
        </w:rPr>
        <w:t>, завдаючи критичних пошкоджень об'єктам, що забезпечують життєдіяльність країни, за таких умов ціна на електричну енергію в 2023 році зростатиме.</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3) 21 грудня 2022 року НКРЕКП затвердила нові тарифи на послуги з передачі та розподілу електричної енергії на 2023 рік.</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Зміна тарифів, що будуть діяти з 1 січня 2023 року, відбудеться на мінімальному рівні, з урахуванням необхідності забезпечення підтримання достатнього рівня стійкості енергетичної системи України.</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 xml:space="preserve">Відповідно до постанови НКРЕКП від 21 грудня 2022 року № 1788 «Про встановлення тарифу на послуги з передачі електричної енергії НЕК «УКРЕНЕРГО» на 2023 рік», передбачається </w:t>
      </w:r>
      <w:proofErr w:type="spellStart"/>
      <w:r w:rsidRPr="00185CD6">
        <w:rPr>
          <w:rFonts w:ascii="Times New Roman" w:hAnsi="Times New Roman" w:cs="Times New Roman"/>
          <w:lang w:val="uk-UA"/>
        </w:rPr>
        <w:t>триетапне</w:t>
      </w:r>
      <w:proofErr w:type="spellEnd"/>
      <w:r w:rsidRPr="00185CD6">
        <w:rPr>
          <w:rFonts w:ascii="Times New Roman" w:hAnsi="Times New Roman" w:cs="Times New Roman"/>
          <w:lang w:val="uk-UA"/>
        </w:rPr>
        <w:t xml:space="preserve"> підвищення тарифу на передачу електричної енергії протягом 2023 року:</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з 1 січня 2023 року тариф збільшиться на 10%, до 380,28 грн/</w:t>
      </w:r>
      <w:proofErr w:type="spellStart"/>
      <w:r w:rsidRPr="00185CD6">
        <w:rPr>
          <w:rFonts w:ascii="Times New Roman" w:hAnsi="Times New Roman" w:cs="Times New Roman"/>
          <w:lang w:val="uk-UA"/>
        </w:rPr>
        <w:t>МВт·год</w:t>
      </w:r>
      <w:proofErr w:type="spellEnd"/>
      <w:r w:rsidRPr="00185CD6">
        <w:rPr>
          <w:rFonts w:ascii="Times New Roman" w:hAnsi="Times New Roman" w:cs="Times New Roman"/>
          <w:lang w:val="uk-UA"/>
        </w:rPr>
        <w:t xml:space="preserve"> (без урахування податку на додану вартість);</w:t>
      </w: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з 1 квітня 2023 року – ще на 13,1%, до 430,25 грн/</w:t>
      </w:r>
      <w:proofErr w:type="spellStart"/>
      <w:r w:rsidRPr="00185CD6">
        <w:rPr>
          <w:rFonts w:ascii="Times New Roman" w:hAnsi="Times New Roman" w:cs="Times New Roman"/>
          <w:lang w:val="uk-UA"/>
        </w:rPr>
        <w:t>МВт·год</w:t>
      </w:r>
      <w:proofErr w:type="spellEnd"/>
      <w:r w:rsidRPr="00185CD6">
        <w:rPr>
          <w:rFonts w:ascii="Times New Roman" w:hAnsi="Times New Roman" w:cs="Times New Roman"/>
          <w:lang w:val="uk-UA"/>
        </w:rPr>
        <w:t xml:space="preserve"> (без урахування податку на додану вартість);</w:t>
      </w: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з 1 липня 2023 року – ще на 12,7%, до 485,10 грн/</w:t>
      </w:r>
      <w:proofErr w:type="spellStart"/>
      <w:r w:rsidRPr="00185CD6">
        <w:rPr>
          <w:rFonts w:ascii="Times New Roman" w:hAnsi="Times New Roman" w:cs="Times New Roman"/>
          <w:lang w:val="uk-UA"/>
        </w:rPr>
        <w:t>МВт·год</w:t>
      </w:r>
      <w:proofErr w:type="spellEnd"/>
      <w:r w:rsidRPr="00185CD6">
        <w:rPr>
          <w:rFonts w:ascii="Times New Roman" w:hAnsi="Times New Roman" w:cs="Times New Roman"/>
          <w:lang w:val="uk-UA"/>
        </w:rPr>
        <w:t xml:space="preserve"> (без урахування податку на додану вартість).</w:t>
      </w: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lastRenderedPageBreak/>
        <w:t>4) НКРЕКП підвищила тарифи на розподіл електричної енергії для 26 операторів системи розподілу з 01 січня 2023 року по 31 березня 2023 року (Таблиця № 1</w:t>
      </w:r>
      <w:r w:rsidR="00A82F46">
        <w:rPr>
          <w:rFonts w:ascii="Times New Roman" w:hAnsi="Times New Roman" w:cs="Times New Roman"/>
          <w:lang w:val="uk-UA"/>
        </w:rPr>
        <w:t>)</w:t>
      </w:r>
    </w:p>
    <w:p w:rsidR="00185CD6" w:rsidRPr="00185CD6" w:rsidRDefault="00185CD6" w:rsidP="00A82F46">
      <w:pPr>
        <w:spacing w:after="0" w:line="240" w:lineRule="auto"/>
        <w:ind w:left="-567" w:right="-1"/>
        <w:jc w:val="both"/>
        <w:rPr>
          <w:rFonts w:ascii="Times New Roman" w:hAnsi="Times New Roman" w:cs="Times New Roman"/>
          <w:lang w:val="uk-UA"/>
        </w:rPr>
      </w:pPr>
    </w:p>
    <w:p w:rsidR="00185CD6" w:rsidRPr="00185CD6" w:rsidRDefault="00185CD6" w:rsidP="00A82F46">
      <w:pPr>
        <w:spacing w:after="0" w:line="240" w:lineRule="auto"/>
        <w:ind w:left="-567" w:right="-1"/>
        <w:jc w:val="both"/>
        <w:rPr>
          <w:rFonts w:ascii="Times New Roman" w:hAnsi="Times New Roman" w:cs="Times New Roman"/>
          <w:lang w:val="uk-UA"/>
        </w:rPr>
      </w:pPr>
      <w:r w:rsidRPr="00185CD6">
        <w:rPr>
          <w:rFonts w:ascii="Times New Roman" w:hAnsi="Times New Roman" w:cs="Times New Roman"/>
          <w:lang w:val="uk-UA"/>
        </w:rPr>
        <w:t xml:space="preserve">Оскільки буде підвищено тариф на передачу та розподіл електричної енергії, та можливе встановлення нових граничних цін на РДН, ВДР та балансуючому ринку, </w:t>
      </w:r>
      <w:r w:rsidR="00A82F46">
        <w:rPr>
          <w:rFonts w:ascii="Times New Roman" w:hAnsi="Times New Roman" w:cs="Times New Roman"/>
          <w:lang w:val="uk-UA"/>
        </w:rPr>
        <w:t>що необхідно врахувати</w:t>
      </w:r>
      <w:r w:rsidRPr="00185CD6">
        <w:rPr>
          <w:rFonts w:ascii="Times New Roman" w:hAnsi="Times New Roman" w:cs="Times New Roman"/>
          <w:lang w:val="uk-UA"/>
        </w:rPr>
        <w:t xml:space="preserve"> при формуванні цін</w:t>
      </w:r>
      <w:r w:rsidR="00A82F46">
        <w:rPr>
          <w:rFonts w:ascii="Times New Roman" w:hAnsi="Times New Roman" w:cs="Times New Roman"/>
          <w:lang w:val="uk-UA"/>
        </w:rPr>
        <w:t>и</w:t>
      </w:r>
      <w:r w:rsidRPr="00185CD6">
        <w:rPr>
          <w:rFonts w:ascii="Times New Roman" w:hAnsi="Times New Roman" w:cs="Times New Roman"/>
          <w:lang w:val="uk-UA"/>
        </w:rPr>
        <w:t xml:space="preserve"> електричної енергії для Споживачів на 2023 рік.</w:t>
      </w:r>
    </w:p>
    <w:p w:rsidR="0055792F" w:rsidRDefault="00A82F46" w:rsidP="00185CD6">
      <w:pPr>
        <w:spacing w:after="0"/>
        <w:ind w:left="-567" w:right="-1"/>
        <w:jc w:val="both"/>
      </w:pPr>
      <w:r>
        <w:rPr>
          <w:noProof/>
          <w:lang w:eastAsia="ru-RU"/>
        </w:rPr>
        <w:drawing>
          <wp:inline distT="0" distB="0" distL="0" distR="0">
            <wp:extent cx="5295900" cy="7787323"/>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03943" cy="7799149"/>
                    </a:xfrm>
                    <a:prstGeom prst="rect">
                      <a:avLst/>
                    </a:prstGeom>
                    <a:noFill/>
                    <a:ln>
                      <a:noFill/>
                    </a:ln>
                  </pic:spPr>
                </pic:pic>
              </a:graphicData>
            </a:graphic>
          </wp:inline>
        </w:drawing>
      </w:r>
    </w:p>
    <w:sectPr w:rsidR="005579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F7100"/>
    <w:multiLevelType w:val="hybridMultilevel"/>
    <w:tmpl w:val="BFA807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D0A4082"/>
    <w:multiLevelType w:val="hybridMultilevel"/>
    <w:tmpl w:val="1A22F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B42"/>
    <w:rsid w:val="00185CD6"/>
    <w:rsid w:val="002F354F"/>
    <w:rsid w:val="0055792F"/>
    <w:rsid w:val="00662142"/>
    <w:rsid w:val="00A82F46"/>
    <w:rsid w:val="00AD4B42"/>
    <w:rsid w:val="00CA04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017A27-B628-4EB5-B22D-B589EA941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4B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963809">
      <w:bodyDiv w:val="1"/>
      <w:marLeft w:val="0"/>
      <w:marRight w:val="0"/>
      <w:marTop w:val="0"/>
      <w:marBottom w:val="0"/>
      <w:divBdr>
        <w:top w:val="none" w:sz="0" w:space="0" w:color="auto"/>
        <w:left w:val="none" w:sz="0" w:space="0" w:color="auto"/>
        <w:bottom w:val="none" w:sz="0" w:space="0" w:color="auto"/>
        <w:right w:val="none" w:sz="0" w:space="0" w:color="auto"/>
      </w:divBdr>
      <w:divsChild>
        <w:div w:id="1142190321">
          <w:marLeft w:val="0"/>
          <w:marRight w:val="0"/>
          <w:marTop w:val="0"/>
          <w:marBottom w:val="0"/>
          <w:divBdr>
            <w:top w:val="none" w:sz="0" w:space="0" w:color="auto"/>
            <w:left w:val="none" w:sz="0" w:space="0" w:color="auto"/>
            <w:bottom w:val="none" w:sz="0" w:space="0" w:color="auto"/>
            <w:right w:val="none" w:sz="0" w:space="0" w:color="auto"/>
          </w:divBdr>
          <w:divsChild>
            <w:div w:id="1613703743">
              <w:marLeft w:val="0"/>
              <w:marRight w:val="0"/>
              <w:marTop w:val="0"/>
              <w:marBottom w:val="0"/>
              <w:divBdr>
                <w:top w:val="none" w:sz="0" w:space="0" w:color="auto"/>
                <w:left w:val="none" w:sz="0" w:space="0" w:color="auto"/>
                <w:bottom w:val="none" w:sz="0" w:space="0" w:color="auto"/>
                <w:right w:val="none" w:sz="0" w:space="0" w:color="auto"/>
              </w:divBdr>
            </w:div>
          </w:divsChild>
        </w:div>
        <w:div w:id="1269854171">
          <w:marLeft w:val="0"/>
          <w:marRight w:val="0"/>
          <w:marTop w:val="150"/>
          <w:marBottom w:val="0"/>
          <w:divBdr>
            <w:top w:val="none" w:sz="0" w:space="0" w:color="auto"/>
            <w:left w:val="none" w:sz="0" w:space="0" w:color="auto"/>
            <w:bottom w:val="none" w:sz="0" w:space="0" w:color="auto"/>
            <w:right w:val="none" w:sz="0" w:space="0" w:color="auto"/>
          </w:divBdr>
          <w:divsChild>
            <w:div w:id="1794473067">
              <w:marLeft w:val="0"/>
              <w:marRight w:val="0"/>
              <w:marTop w:val="0"/>
              <w:marBottom w:val="0"/>
              <w:divBdr>
                <w:top w:val="none" w:sz="0" w:space="0" w:color="auto"/>
                <w:left w:val="none" w:sz="0" w:space="0" w:color="auto"/>
                <w:bottom w:val="none" w:sz="0" w:space="0" w:color="auto"/>
                <w:right w:val="none" w:sz="0" w:space="0" w:color="auto"/>
              </w:divBdr>
              <w:divsChild>
                <w:div w:id="1730299108">
                  <w:marLeft w:val="0"/>
                  <w:marRight w:val="0"/>
                  <w:marTop w:val="0"/>
                  <w:marBottom w:val="0"/>
                  <w:divBdr>
                    <w:top w:val="none" w:sz="0" w:space="0" w:color="auto"/>
                    <w:left w:val="none" w:sz="0" w:space="0" w:color="auto"/>
                    <w:bottom w:val="none" w:sz="0" w:space="0" w:color="auto"/>
                    <w:right w:val="none" w:sz="0" w:space="0" w:color="auto"/>
                  </w:divBdr>
                  <w:divsChild>
                    <w:div w:id="68970661">
                      <w:marLeft w:val="0"/>
                      <w:marRight w:val="0"/>
                      <w:marTop w:val="0"/>
                      <w:marBottom w:val="0"/>
                      <w:divBdr>
                        <w:top w:val="none" w:sz="0" w:space="0" w:color="auto"/>
                        <w:left w:val="none" w:sz="0" w:space="0" w:color="auto"/>
                        <w:bottom w:val="none" w:sz="0" w:space="0" w:color="auto"/>
                        <w:right w:val="none" w:sz="0" w:space="0" w:color="auto"/>
                      </w:divBdr>
                    </w:div>
                    <w:div w:id="73127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619</Words>
  <Characters>3534</Characters>
  <Application>Microsoft Office Word</Application>
  <DocSecurity>0</DocSecurity>
  <Lines>29</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Lesya</dc:creator>
  <cp:keywords/>
  <dc:description/>
  <cp:lastModifiedBy>Lesya</cp:lastModifiedBy>
  <cp:revision>4</cp:revision>
  <dcterms:created xsi:type="dcterms:W3CDTF">2023-11-16T19:16:00Z</dcterms:created>
  <dcterms:modified xsi:type="dcterms:W3CDTF">2023-11-16T19:27:00Z</dcterms:modified>
</cp:coreProperties>
</file>